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4D5" w:rsidRDefault="00847107">
      <w:pPr>
        <w:pBdr>
          <w:right w:val="single" w:sz="8" w:space="0" w:color="DCE6F0"/>
        </w:pBdr>
        <w:spacing w:after="59" w:line="259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ENTENDIMENTO DO AMBIENTE DE CONTROLE EM QUE O OBJETO ESTÁ INSERIDO</w:t>
      </w:r>
    </w:p>
    <w:p w:rsidR="00C754D5" w:rsidRDefault="00C754D5">
      <w:pPr>
        <w:widowControl w:val="0"/>
        <w:spacing w:before="58" w:after="0" w:line="240" w:lineRule="auto"/>
        <w:ind w:left="0" w:firstLine="0"/>
        <w:jc w:val="left"/>
        <w:rPr>
          <w:rFonts w:ascii="Arial" w:eastAsia="Arial" w:hAnsi="Arial" w:cs="Arial"/>
          <w:b/>
          <w:color w:val="000000"/>
          <w:sz w:val="20"/>
          <w:szCs w:val="20"/>
        </w:rPr>
      </w:pPr>
    </w:p>
    <w:tbl>
      <w:tblPr>
        <w:tblStyle w:val="a4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C754D5">
        <w:tc>
          <w:tcPr>
            <w:tcW w:w="2370" w:type="dxa"/>
            <w:shd w:val="clear" w:color="auto" w:fill="CCCCCC"/>
          </w:tcPr>
          <w:p w:rsidR="00C754D5" w:rsidRDefault="00847107">
            <w:pPr>
              <w:widowControl w:val="0"/>
              <w:spacing w:before="58" w:after="0" w:line="240" w:lineRule="auto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C754D5" w:rsidRDefault="00C754D5">
            <w:pPr>
              <w:widowControl w:val="0"/>
              <w:spacing w:before="58" w:after="0" w:line="240" w:lineRule="auto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754D5">
        <w:tc>
          <w:tcPr>
            <w:tcW w:w="2370" w:type="dxa"/>
            <w:shd w:val="clear" w:color="auto" w:fill="CCCCCC"/>
          </w:tcPr>
          <w:p w:rsidR="00C754D5" w:rsidRDefault="00847107">
            <w:pPr>
              <w:widowControl w:val="0"/>
              <w:spacing w:before="58" w:after="0" w:line="240" w:lineRule="auto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C754D5" w:rsidRDefault="00C754D5">
            <w:pPr>
              <w:widowControl w:val="0"/>
              <w:spacing w:before="58" w:after="0" w:line="240" w:lineRule="auto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C754D5" w:rsidRDefault="00C754D5">
      <w:pPr>
        <w:spacing w:after="74" w:line="248" w:lineRule="auto"/>
        <w:ind w:left="-3" w:hanging="10"/>
        <w:rPr>
          <w:rFonts w:ascii="Arial" w:eastAsia="Arial" w:hAnsi="Arial" w:cs="Arial"/>
          <w:sz w:val="20"/>
          <w:szCs w:val="20"/>
        </w:rPr>
      </w:pPr>
    </w:p>
    <w:tbl>
      <w:tblPr>
        <w:tblStyle w:val="a5"/>
        <w:tblW w:w="9031" w:type="dxa"/>
        <w:tblInd w:w="21" w:type="dxa"/>
        <w:tblBorders>
          <w:top w:val="single" w:sz="12" w:space="0" w:color="C7332C"/>
          <w:left w:val="single" w:sz="12" w:space="0" w:color="C7332C"/>
          <w:bottom w:val="single" w:sz="12" w:space="0" w:color="C7332C"/>
          <w:right w:val="single" w:sz="12" w:space="0" w:color="C7332C"/>
        </w:tblBorders>
        <w:tblLayout w:type="fixed"/>
        <w:tblLook w:val="0400" w:firstRow="0" w:lastRow="0" w:firstColumn="0" w:lastColumn="0" w:noHBand="0" w:noVBand="1"/>
      </w:tblPr>
      <w:tblGrid>
        <w:gridCol w:w="5111"/>
        <w:gridCol w:w="3920"/>
      </w:tblGrid>
      <w:tr w:rsidR="00C754D5">
        <w:trPr>
          <w:trHeight w:val="326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</w:tcPr>
          <w:p w:rsidR="00C754D5" w:rsidRDefault="00847107">
            <w:pPr>
              <w:tabs>
                <w:tab w:val="left" w:pos="306"/>
              </w:tabs>
              <w:spacing w:after="0" w:line="360" w:lineRule="auto"/>
              <w:ind w:left="164" w:hanging="107"/>
              <w:jc w:val="center"/>
              <w:rPr>
                <w:rFonts w:ascii="Arial" w:eastAsia="Arial" w:hAnsi="Arial" w:cs="Arial"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Componentes de controles internos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E2F3"/>
          </w:tcPr>
          <w:p w:rsidR="00C754D5" w:rsidRDefault="00847107">
            <w:pPr>
              <w:spacing w:after="0" w:line="360" w:lineRule="auto"/>
              <w:ind w:left="0" w:right="46" w:firstLine="0"/>
              <w:jc w:val="center"/>
              <w:rPr>
                <w:rFonts w:ascii="Arial" w:eastAsia="Arial" w:hAnsi="Arial" w:cs="Arial"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Descrição</w:t>
            </w:r>
          </w:p>
        </w:tc>
      </w:tr>
      <w:tr w:rsidR="00C754D5">
        <w:trPr>
          <w:trHeight w:val="52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847107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Há definição clara de responsabilidades, competências e atribuições no projeto/programa/atividade?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C754D5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754D5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847107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2. Os deveres e responsabilidades essenciais à operacionalização do objeto são divididos ou segregados entre diferentes pessoas para reduzir o risco de ocorrerem erros, desperdícios ou fraudes?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C754D5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754D5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847107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3. Existe programa de educação continuada, para a área audit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ada, efetivamente executada com ações de capacitação orientadas para melhorar o desempenho dos servidores?</w:t>
            </w:r>
          </w:p>
          <w:p w:rsidR="00C754D5" w:rsidRDefault="00C754D5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C754D5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754D5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847107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4. Todos os procedimentos e instruções operacionais referentes ao objeto auditado são padronizados formalmente?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C754D5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754D5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847107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 possíveis riscos que afetam o objeto avaliado foram identificados, e se existem ações para mitigá-los?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C754D5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754D5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847107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  <w:t xml:space="preserve">Na ocorrência de indícios de fraudes e desvios em relação ao objeto auditado, é prática da unidade responsável instaurar sindicância para apurar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responsabilidades e exigir ressarcimentos?</w:t>
            </w:r>
          </w:p>
          <w:p w:rsidR="00C754D5" w:rsidRDefault="00C754D5">
            <w:pPr>
              <w:tabs>
                <w:tab w:val="left" w:pos="306"/>
              </w:tabs>
              <w:spacing w:after="0" w:line="259" w:lineRule="auto"/>
              <w:ind w:left="57" w:right="153" w:firstLine="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C754D5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754D5">
        <w:trPr>
          <w:trHeight w:val="74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847107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7. Quando necessário, os gestores determinam ações corretivas com vistas ao aperfeiçoamento da estrutura de controle interno referente ao objeto auditado?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C754D5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754D5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847107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8. As informações consideradas relevantes para o objeto auditado são devidamente identificadas, documentadas, armazenadas e comunicadas tempestivamente às pessoas adequadas?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C754D5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754D5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847107">
            <w:pPr>
              <w:spacing w:after="0" w:line="259" w:lineRule="auto"/>
              <w:ind w:left="300" w:right="153" w:hanging="30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9. Existem padrões para medir periodicamente o desempenho dos objetivos e metas do objeto auditado?</w:t>
            </w:r>
          </w:p>
          <w:p w:rsidR="00C754D5" w:rsidRDefault="00C754D5">
            <w:pPr>
              <w:tabs>
                <w:tab w:val="left" w:pos="306"/>
              </w:tabs>
              <w:spacing w:after="0" w:line="259" w:lineRule="auto"/>
              <w:ind w:left="164" w:right="153" w:hanging="10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C754D5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754D5">
        <w:trPr>
          <w:trHeight w:val="969"/>
        </w:trPr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847107">
            <w:pPr>
              <w:spacing w:after="0" w:line="259" w:lineRule="auto"/>
              <w:ind w:left="300" w:right="153" w:hanging="30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10. Quando necessário, os gestores determinam ações corretivas com vistas ao alcance de metas do objeto auditado?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4D5" w:rsidRDefault="00C754D5">
            <w:pPr>
              <w:spacing w:after="160" w:line="259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754D5" w:rsidRDefault="00C754D5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6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C754D5">
        <w:tc>
          <w:tcPr>
            <w:tcW w:w="1995" w:type="dxa"/>
            <w:shd w:val="clear" w:color="auto" w:fill="CCCCCC"/>
          </w:tcPr>
          <w:p w:rsidR="00C754D5" w:rsidRDefault="00847107">
            <w:pPr>
              <w:widowControl w:val="0"/>
              <w:spacing w:before="57" w:after="57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C754D5" w:rsidRDefault="00C754D5">
            <w:pPr>
              <w:widowControl w:val="0"/>
              <w:spacing w:before="57" w:after="57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754D5">
        <w:tc>
          <w:tcPr>
            <w:tcW w:w="9060" w:type="dxa"/>
            <w:gridSpan w:val="2"/>
            <w:shd w:val="clear" w:color="auto" w:fill="auto"/>
          </w:tcPr>
          <w:p w:rsidR="00C754D5" w:rsidRDefault="00847107">
            <w:pPr>
              <w:widowControl w:val="0"/>
              <w:spacing w:before="57" w:after="57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EQUIPE:</w:t>
            </w:r>
          </w:p>
          <w:p w:rsidR="00C754D5" w:rsidRDefault="00847107">
            <w:pPr>
              <w:widowControl w:val="0"/>
              <w:spacing w:after="0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XXXX</w:t>
            </w:r>
          </w:p>
          <w:p w:rsidR="00C754D5" w:rsidRDefault="00847107">
            <w:pPr>
              <w:widowControl w:val="0"/>
              <w:spacing w:after="0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YYYY</w:t>
            </w:r>
          </w:p>
          <w:p w:rsidR="00C754D5" w:rsidRDefault="00847107">
            <w:pPr>
              <w:widowControl w:val="0"/>
              <w:spacing w:after="0" w:line="240" w:lineRule="auto"/>
              <w:ind w:left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ZZZZ</w:t>
            </w:r>
          </w:p>
        </w:tc>
      </w:tr>
    </w:tbl>
    <w:p w:rsidR="00C754D5" w:rsidRDefault="00847107">
      <w:pPr>
        <w:widowControl w:val="0"/>
        <w:spacing w:before="57" w:after="57" w:line="240" w:lineRule="auto"/>
        <w:ind w:left="0" w:firstLine="0"/>
        <w:rPr>
          <w:rFonts w:ascii="Arial" w:eastAsia="Arial" w:hAnsi="Arial" w:cs="Arial"/>
          <w:sz w:val="20"/>
          <w:szCs w:val="20"/>
        </w:rPr>
      </w:pPr>
      <w:r>
        <w:br w:type="page"/>
      </w:r>
    </w:p>
    <w:p w:rsidR="00C754D5" w:rsidRDefault="00C754D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68" w:lineRule="auto"/>
        <w:ind w:left="-2" w:firstLine="0"/>
        <w:jc w:val="left"/>
        <w:rPr>
          <w:rFonts w:ascii="Arial" w:eastAsia="Arial" w:hAnsi="Arial" w:cs="Arial"/>
          <w:b/>
          <w:color w:val="4D6FA3"/>
          <w:sz w:val="16"/>
          <w:szCs w:val="16"/>
        </w:rPr>
      </w:pPr>
    </w:p>
    <w:p w:rsidR="00C754D5" w:rsidRDefault="0084710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68" w:lineRule="auto"/>
        <w:ind w:left="-2" w:firstLine="0"/>
        <w:jc w:val="left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t>Orientações para o preenchimento do formulário para o entendimento do ambiente de controle</w:t>
      </w:r>
    </w:p>
    <w:tbl>
      <w:tblPr>
        <w:tblStyle w:val="a7"/>
        <w:tblW w:w="9025" w:type="dxa"/>
        <w:tblInd w:w="20" w:type="dxa"/>
        <w:tblLayout w:type="fixed"/>
        <w:tblLook w:val="0400" w:firstRow="0" w:lastRow="0" w:firstColumn="0" w:lastColumn="0" w:noHBand="0" w:noVBand="1"/>
      </w:tblPr>
      <w:tblGrid>
        <w:gridCol w:w="2021"/>
        <w:gridCol w:w="7004"/>
      </w:tblGrid>
      <w:tr w:rsidR="00C754D5">
        <w:trPr>
          <w:trHeight w:val="1027"/>
        </w:trPr>
        <w:tc>
          <w:tcPr>
            <w:tcW w:w="2021" w:type="dxa"/>
            <w:tcBorders>
              <w:top w:val="single" w:sz="12" w:space="0" w:color="6D9EEB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C754D5" w:rsidRDefault="00847107">
            <w:pPr>
              <w:spacing w:after="0" w:line="259" w:lineRule="auto"/>
              <w:ind w:left="80" w:right="303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preenchimento do formulário</w:t>
            </w:r>
          </w:p>
        </w:tc>
        <w:tc>
          <w:tcPr>
            <w:tcW w:w="7004" w:type="dxa"/>
            <w:tcBorders>
              <w:top w:val="single" w:sz="12" w:space="0" w:color="6D9EEB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C754D5" w:rsidRDefault="00847107">
            <w:pPr>
              <w:spacing w:after="0" w:line="259" w:lineRule="auto"/>
              <w:ind w:left="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formulário é estabelecer e documentar um entendimento do jurisdicionado e seu ambiente relevante para a auditoria. A ISSAI 4000.134 orienta que o auditor deve obter um entendimento do controle interno da entidade relevante para a auditoria</w:t>
            </w:r>
            <w:r>
              <w:rPr>
                <w:rFonts w:ascii="Arial" w:eastAsia="Arial" w:hAnsi="Arial" w:cs="Arial"/>
                <w:sz w:val="16"/>
                <w:szCs w:val="16"/>
              </w:rPr>
              <w:t>. Quando o objeto é determinado, o auditor identifica os controles internos que estão em vigor para reduzir o risco de não conformidade com critérios ou de distorções relevantes na informação do objeto. Usando julgamento profissional, o auditor decide se u</w:t>
            </w:r>
            <w:r>
              <w:rPr>
                <w:rFonts w:ascii="Arial" w:eastAsia="Arial" w:hAnsi="Arial" w:cs="Arial"/>
                <w:sz w:val="16"/>
                <w:szCs w:val="16"/>
              </w:rPr>
              <w:t>m controle é relevante ou não para a auditoria.</w:t>
            </w:r>
          </w:p>
        </w:tc>
      </w:tr>
      <w:tr w:rsidR="00C754D5">
        <w:trPr>
          <w:trHeight w:val="328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C754D5" w:rsidRDefault="00847107">
            <w:pPr>
              <w:spacing w:after="0"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NBASP de referência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C754D5" w:rsidRDefault="00847107">
            <w:pPr>
              <w:spacing w:after="0" w:line="259" w:lineRule="auto"/>
              <w:ind w:left="137" w:firstLine="0"/>
              <w:jc w:val="lef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NBASP 3000/98</w:t>
            </w:r>
          </w:p>
        </w:tc>
      </w:tr>
      <w:tr w:rsidR="00C754D5">
        <w:trPr>
          <w:trHeight w:val="3140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C754D5" w:rsidRDefault="00847107">
            <w:pPr>
              <w:spacing w:after="0"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Orientações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C754D5" w:rsidRDefault="00847107">
            <w:pPr>
              <w:spacing w:after="0" w:line="259" w:lineRule="auto"/>
              <w:ind w:left="57" w:right="1" w:firstLine="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Os Tribunais de Contas devem promover a instituição e o efetivo funcionamento dos sistemas de controle interno das entidades fiscalizadas. Para entender a entidade auditada ou o objeto, o auditor também precisa entender o sistema de controle 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nterno (NBASP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3000/73).</w:t>
            </w:r>
          </w:p>
          <w:p w:rsidR="00C754D5" w:rsidRDefault="00C754D5">
            <w:pPr>
              <w:spacing w:after="0" w:line="259" w:lineRule="auto"/>
              <w:ind w:left="57" w:right="1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  <w:p w:rsidR="00C754D5" w:rsidRDefault="00847107">
            <w:pPr>
              <w:spacing w:after="0" w:line="259" w:lineRule="auto"/>
              <w:ind w:left="57" w:right="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tipo particular de controles sobre o qual o auditor foca dependerá do objeto e da natureza específica e do escopo da auditoria. Como o objeto pode ser qualitativo ou quantitativo, o auditor irá focar em controles internos quantitativos ou qua</w:t>
            </w:r>
            <w:r>
              <w:rPr>
                <w:rFonts w:ascii="Arial" w:eastAsia="Arial" w:hAnsi="Arial" w:cs="Arial"/>
                <w:sz w:val="16"/>
                <w:szCs w:val="16"/>
              </w:rPr>
              <w:t>litativos ou em uma combinação destes, de acordo com o escopo de auditoria. Na avaliação de controles internos, o auditor avalia o risco de eles não prevenirem ou não detectarem casos relevantes de não conformidade e de má gestão. (NBASP 12/21; NBASP 300/3</w:t>
            </w:r>
            <w:r>
              <w:rPr>
                <w:rFonts w:ascii="Arial" w:eastAsia="Arial" w:hAnsi="Arial" w:cs="Arial"/>
                <w:sz w:val="16"/>
                <w:szCs w:val="16"/>
              </w:rPr>
              <w:t>7).</w:t>
            </w:r>
          </w:p>
          <w:p w:rsidR="00C754D5" w:rsidRDefault="00C754D5">
            <w:pPr>
              <w:spacing w:after="0" w:line="259" w:lineRule="auto"/>
              <w:ind w:left="57" w:right="1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</w:p>
          <w:p w:rsidR="00C754D5" w:rsidRDefault="00847107">
            <w:pPr>
              <w:spacing w:after="0" w:line="259" w:lineRule="auto"/>
              <w:ind w:left="57" w:right="1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 papel de trabalho traz um modelo orientativo, podendo ser reformulado de acordo com a entidade e o objeto auditado.  </w:t>
            </w:r>
          </w:p>
        </w:tc>
      </w:tr>
      <w:tr w:rsidR="00C754D5">
        <w:trPr>
          <w:trHeight w:val="548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</w:tcPr>
          <w:p w:rsidR="00C754D5" w:rsidRDefault="00847107">
            <w:pPr>
              <w:spacing w:after="0" w:line="259" w:lineRule="auto"/>
              <w:ind w:left="80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Conclusão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</w:tcPr>
          <w:p w:rsidR="00C754D5" w:rsidRDefault="00847107">
            <w:pPr>
              <w:spacing w:after="0" w:line="259" w:lineRule="auto"/>
              <w:ind w:left="57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equipe de auditoria deve formar uma conclusão sobre as áreas significativas do ambiente de controles sob avaliação.</w:t>
            </w:r>
          </w:p>
        </w:tc>
      </w:tr>
      <w:tr w:rsidR="00C754D5">
        <w:trPr>
          <w:trHeight w:val="847"/>
        </w:trPr>
        <w:tc>
          <w:tcPr>
            <w:tcW w:w="2021" w:type="dxa"/>
            <w:tcBorders>
              <w:top w:val="single" w:sz="8" w:space="0" w:color="B6D7A8"/>
              <w:left w:val="single" w:sz="12" w:space="0" w:color="6D9EEB"/>
              <w:bottom w:val="single" w:sz="12" w:space="0" w:color="6D9EEB"/>
              <w:right w:val="single" w:sz="8" w:space="0" w:color="B6D7A8"/>
            </w:tcBorders>
            <w:shd w:val="clear" w:color="auto" w:fill="D9D9D9"/>
          </w:tcPr>
          <w:p w:rsidR="00C754D5" w:rsidRDefault="00847107">
            <w:pPr>
              <w:spacing w:after="0" w:line="259" w:lineRule="auto"/>
              <w:ind w:left="80" w:right="655" w:firstLine="0"/>
              <w:jc w:val="lef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Evidências do elaborador e do revisor</w:t>
            </w:r>
          </w:p>
        </w:tc>
        <w:tc>
          <w:tcPr>
            <w:tcW w:w="7004" w:type="dxa"/>
            <w:tcBorders>
              <w:top w:val="single" w:sz="8" w:space="0" w:color="B6D7A8"/>
              <w:left w:val="single" w:sz="8" w:space="0" w:color="B6D7A8"/>
              <w:bottom w:val="single" w:sz="12" w:space="0" w:color="6D9EEB"/>
              <w:right w:val="single" w:sz="12" w:space="0" w:color="6D9EEB"/>
            </w:tcBorders>
          </w:tcPr>
          <w:p w:rsidR="00C754D5" w:rsidRDefault="00847107">
            <w:pPr>
              <w:spacing w:after="0" w:line="259" w:lineRule="auto"/>
              <w:ind w:left="57" w:firstLine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revisor (geralmente o Coordenador da auditoria) deve assinar o documento para garantir que o trabalho realizado pela equipe tenha sido devidamente revisado.</w:t>
            </w:r>
          </w:p>
        </w:tc>
      </w:tr>
    </w:tbl>
    <w:p w:rsidR="00C754D5" w:rsidRDefault="00C754D5">
      <w:pPr>
        <w:spacing w:after="0"/>
        <w:rPr>
          <w:rFonts w:ascii="Arial" w:eastAsia="Arial" w:hAnsi="Arial" w:cs="Arial"/>
          <w:sz w:val="16"/>
          <w:szCs w:val="16"/>
        </w:rPr>
      </w:pPr>
    </w:p>
    <w:p w:rsidR="00C754D5" w:rsidRDefault="00847107">
      <w:pPr>
        <w:spacing w:after="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Nota: Além deste formulário, para entendimento do control</w:t>
      </w:r>
      <w:r>
        <w:rPr>
          <w:rFonts w:ascii="Arial" w:eastAsia="Arial" w:hAnsi="Arial" w:cs="Arial"/>
          <w:sz w:val="16"/>
          <w:szCs w:val="16"/>
        </w:rPr>
        <w:t xml:space="preserve">e interno da entidade como um todo, a equipe deve analisar o questionário de avaliação de controle interno apresentado pelo próprio jurisdicionado em atendimento a RN n. 6/2019-TCE-GO (art. 18), feito na estrutura integrada do COSO no endereço </w:t>
      </w:r>
      <w:hyperlink r:id="rId7">
        <w:r>
          <w:rPr>
            <w:rFonts w:ascii="Arial" w:eastAsia="Arial" w:hAnsi="Arial" w:cs="Arial"/>
            <w:color w:val="0563C1"/>
            <w:sz w:val="16"/>
            <w:szCs w:val="16"/>
            <w:u w:val="single"/>
          </w:rPr>
          <w:t>https://survey.tce.go.gov.br/index.php/admin/authentication/sa/login</w:t>
        </w:r>
      </w:hyperlink>
      <w:r>
        <w:rPr>
          <w:rFonts w:ascii="Arial" w:eastAsia="Arial" w:hAnsi="Arial" w:cs="Arial"/>
          <w:sz w:val="16"/>
          <w:szCs w:val="16"/>
        </w:rPr>
        <w:t xml:space="preserve">. </w:t>
      </w:r>
    </w:p>
    <w:p w:rsidR="00C754D5" w:rsidRDefault="00847107">
      <w:pPr>
        <w:tabs>
          <w:tab w:val="left" w:pos="1860"/>
        </w:tabs>
        <w:rPr>
          <w:rFonts w:ascii="Arial" w:eastAsia="Arial" w:hAnsi="Arial" w:cs="Arial"/>
          <w:sz w:val="16"/>
          <w:szCs w:val="16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</w:p>
    <w:sectPr w:rsidR="00C754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7" w:right="1417" w:bottom="1145" w:left="1417" w:header="720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47107">
      <w:pPr>
        <w:spacing w:after="0" w:line="240" w:lineRule="auto"/>
      </w:pPr>
      <w:r>
        <w:separator/>
      </w:r>
    </w:p>
  </w:endnote>
  <w:endnote w:type="continuationSeparator" w:id="0">
    <w:p w:rsidR="00000000" w:rsidRDefault="00847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4D5" w:rsidRDefault="00847107">
    <w:pPr>
      <w:spacing w:after="0" w:line="259" w:lineRule="auto"/>
      <w:ind w:left="0" w:firstLine="0"/>
      <w:jc w:val="lef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2</w:t>
    </w:r>
    <w:r>
      <w:rPr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4D5" w:rsidRDefault="00847107">
    <w:pPr>
      <w:spacing w:after="0" w:line="259" w:lineRule="auto"/>
      <w:ind w:left="0" w:firstLine="0"/>
      <w:jc w:val="righ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</w:t>
    </w:r>
    <w:r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4D5" w:rsidRDefault="00847107">
    <w:pPr>
      <w:spacing w:after="0" w:line="259" w:lineRule="auto"/>
      <w:ind w:left="0" w:firstLine="0"/>
      <w:jc w:val="lef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47107">
      <w:pPr>
        <w:spacing w:after="0" w:line="240" w:lineRule="auto"/>
      </w:pPr>
      <w:r>
        <w:separator/>
      </w:r>
    </w:p>
  </w:footnote>
  <w:footnote w:type="continuationSeparator" w:id="0">
    <w:p w:rsidR="00000000" w:rsidRDefault="00847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4D5" w:rsidRDefault="00C754D5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4D5" w:rsidRDefault="00C754D5">
    <w:pPr>
      <w:tabs>
        <w:tab w:val="center" w:pos="4252"/>
        <w:tab w:val="right" w:pos="8504"/>
      </w:tabs>
      <w:spacing w:after="0" w:line="240" w:lineRule="auto"/>
      <w:ind w:left="0" w:firstLine="0"/>
      <w:jc w:val="left"/>
      <w:rPr>
        <w:rFonts w:ascii="Arial" w:eastAsia="Arial" w:hAnsi="Arial" w:cs="Arial"/>
        <w:color w:val="000000"/>
      </w:rPr>
    </w:pPr>
  </w:p>
  <w:tbl>
    <w:tblPr>
      <w:tblStyle w:val="a8"/>
      <w:tblW w:w="104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80"/>
      <w:gridCol w:w="8000"/>
    </w:tblGrid>
    <w:tr w:rsidR="00C754D5">
      <w:trPr>
        <w:trHeight w:val="1418"/>
        <w:jc w:val="center"/>
      </w:trPr>
      <w:tc>
        <w:tcPr>
          <w:tcW w:w="2480" w:type="dxa"/>
          <w:vAlign w:val="center"/>
        </w:tcPr>
        <w:p w:rsidR="00C754D5" w:rsidRDefault="00847107">
          <w:pPr>
            <w:tabs>
              <w:tab w:val="center" w:pos="4252"/>
              <w:tab w:val="right" w:pos="8504"/>
            </w:tabs>
            <w:spacing w:after="0"/>
            <w:ind w:left="0" w:firstLine="0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noProof/>
            </w:rPr>
            <w:drawing>
              <wp:inline distT="0" distB="0" distL="0" distR="0" wp14:anchorId="11DB2264" wp14:editId="3D83DCAD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  <w:vAlign w:val="center"/>
        </w:tcPr>
        <w:p w:rsidR="00C754D5" w:rsidRDefault="00847107">
          <w:pPr>
            <w:tabs>
              <w:tab w:val="center" w:pos="4252"/>
              <w:tab w:val="right" w:pos="8504"/>
            </w:tabs>
            <w:spacing w:after="0"/>
            <w:ind w:left="0" w:hanging="108"/>
            <w:jc w:val="center"/>
            <w:rPr>
              <w:rFonts w:ascii="Arial" w:eastAsia="Arial" w:hAnsi="Arial" w:cs="Arial"/>
              <w:b/>
              <w:color w:val="000000"/>
              <w:sz w:val="26"/>
              <w:szCs w:val="26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>Tribunal de Contas do Estado de Goiás</w:t>
          </w:r>
        </w:p>
        <w:p w:rsidR="00C754D5" w:rsidRDefault="00847107">
          <w:pPr>
            <w:tabs>
              <w:tab w:val="center" w:pos="4252"/>
              <w:tab w:val="right" w:pos="8504"/>
            </w:tabs>
            <w:spacing w:after="0"/>
            <w:ind w:left="0" w:hanging="108"/>
            <w:jc w:val="center"/>
            <w:rPr>
              <w:rFonts w:ascii="Arial" w:eastAsia="Arial" w:hAnsi="Arial" w:cs="Arial"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color w:val="000000"/>
              <w:sz w:val="24"/>
              <w:szCs w:val="24"/>
            </w:rPr>
            <w:t>Secretaria de Controle Externo</w:t>
          </w:r>
        </w:p>
        <w:p w:rsidR="00C754D5" w:rsidRDefault="00847107">
          <w:pPr>
            <w:tabs>
              <w:tab w:val="center" w:pos="4252"/>
              <w:tab w:val="right" w:pos="8504"/>
            </w:tabs>
            <w:spacing w:after="0"/>
            <w:ind w:left="0"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C754D5" w:rsidRDefault="00847107">
          <w:pPr>
            <w:tabs>
              <w:tab w:val="center" w:pos="4252"/>
              <w:tab w:val="right" w:pos="8504"/>
            </w:tabs>
            <w:spacing w:after="0"/>
            <w:ind w:left="0" w:hanging="108"/>
            <w:jc w:val="center"/>
            <w:rPr>
              <w:rFonts w:ascii="Arial" w:eastAsia="Arial" w:hAnsi="Arial" w:cs="Arial"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C754D5" w:rsidRDefault="00C754D5">
    <w:pPr>
      <w:tabs>
        <w:tab w:val="center" w:pos="4252"/>
        <w:tab w:val="right" w:pos="8504"/>
      </w:tabs>
      <w:spacing w:after="0" w:line="240" w:lineRule="auto"/>
      <w:ind w:left="0" w:firstLine="0"/>
      <w:jc w:val="left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4D5" w:rsidRDefault="00C754D5">
    <w:pPr>
      <w:spacing w:after="160" w:line="259" w:lineRule="auto"/>
      <w:ind w:lef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4D5"/>
    <w:rsid w:val="00847107"/>
    <w:rsid w:val="00C7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66F00-A411-4114-AC71-291BFE179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181717"/>
        <w:sz w:val="22"/>
        <w:szCs w:val="22"/>
        <w:lang w:val="pt-BR" w:eastAsia="pt-BR" w:bidi="ar-SA"/>
      </w:rPr>
    </w:rPrDefault>
    <w:pPrDefault>
      <w:pPr>
        <w:spacing w:after="315" w:line="270" w:lineRule="auto"/>
        <w:ind w:left="8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ind w:hanging="8"/>
    </w:p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211" w:line="268" w:lineRule="auto"/>
      <w:ind w:left="10" w:hanging="10"/>
      <w:outlineLvl w:val="0"/>
    </w:pPr>
    <w:rPr>
      <w:b/>
      <w:color w:val="4D6FA3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211" w:line="268" w:lineRule="auto"/>
      <w:ind w:left="10" w:hanging="10"/>
      <w:outlineLvl w:val="1"/>
    </w:pPr>
    <w:rPr>
      <w:b/>
      <w:color w:val="4D6FA3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211" w:line="268" w:lineRule="auto"/>
      <w:ind w:left="10" w:hanging="10"/>
      <w:outlineLvl w:val="2"/>
    </w:pPr>
    <w:rPr>
      <w:b/>
      <w:color w:val="4D6FA3"/>
    </w:rPr>
  </w:style>
  <w:style w:type="paragraph" w:styleId="Ttulo4">
    <w:name w:val="heading 4"/>
    <w:next w:val="Normal"/>
    <w:link w:val="Ttulo4Char"/>
    <w:uiPriority w:val="9"/>
    <w:unhideWhenUsed/>
    <w:qFormat/>
    <w:pPr>
      <w:keepNext/>
      <w:keepLines/>
      <w:spacing w:after="257" w:line="265" w:lineRule="auto"/>
      <w:ind w:left="10" w:right="1" w:hanging="10"/>
      <w:jc w:val="center"/>
      <w:outlineLvl w:val="3"/>
    </w:pPr>
    <w:rPr>
      <w:b/>
      <w:color w:val="4D6FA3"/>
      <w:sz w:val="18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2"/>
    </w:pPr>
    <w:rPr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181717"/>
      <w:sz w:val="16"/>
    </w:rPr>
  </w:style>
  <w:style w:type="character" w:customStyle="1" w:styleId="Ttulo4Char">
    <w:name w:val="Título 4 Char"/>
    <w:link w:val="Ttulo4"/>
    <w:rPr>
      <w:rFonts w:ascii="Calibri" w:eastAsia="Calibri" w:hAnsi="Calibri" w:cs="Calibri"/>
      <w:b/>
      <w:color w:val="4D6FA3"/>
      <w:sz w:val="18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4D6FA3"/>
      <w:sz w:val="22"/>
    </w:rPr>
  </w:style>
  <w:style w:type="character" w:customStyle="1" w:styleId="Ttulo3Char">
    <w:name w:val="Título 3 Char"/>
    <w:link w:val="Ttulo3"/>
    <w:rPr>
      <w:rFonts w:ascii="Calibri" w:eastAsia="Calibri" w:hAnsi="Calibri" w:cs="Calibri"/>
      <w:b/>
      <w:color w:val="4D6FA3"/>
      <w:sz w:val="22"/>
    </w:rPr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4D6FA3"/>
      <w:sz w:val="22"/>
    </w:rPr>
  </w:style>
  <w:style w:type="paragraph" w:styleId="Sumrio1">
    <w:name w:val="toc 1"/>
    <w:hidden/>
    <w:pPr>
      <w:ind w:left="15" w:right="15"/>
    </w:pPr>
    <w:rPr>
      <w:color w:val="00000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181717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0A1D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A1D0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A1D0D"/>
    <w:rPr>
      <w:rFonts w:ascii="Calibri" w:eastAsia="Calibri" w:hAnsi="Calibri" w:cs="Calibri"/>
      <w:color w:val="181717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A1D0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A1D0D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1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1D0D"/>
    <w:rPr>
      <w:rFonts w:ascii="Segoe UI" w:eastAsia="Calibri" w:hAnsi="Segoe UI" w:cs="Segoe UI"/>
      <w:color w:val="181717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E8273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82734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79" w:type="dxa"/>
        <w:left w:w="80" w:type="dxa"/>
        <w:bottom w:w="0" w:type="dxa"/>
        <w:right w:w="34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80" w:type="dxa"/>
        <w:left w:w="0" w:type="dxa"/>
        <w:bottom w:w="0" w:type="dxa"/>
        <w:right w:w="115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urvey.tce.go.gov.br/index.php/admin/authentication/sa/logi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QaXxODtXUg23iMh19q1zBw/+SQ==">CgMxLjAyCGguZ2pkZ3hzOAByITFJV3Z5VG5mWTduTmp3WDVMSXNzR0lrdS1iN05Ed1BpTw==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Fagundes Lima</dc:creator>
  <cp:lastModifiedBy>Andrea Calixto Abdalla Ribeiro</cp:lastModifiedBy>
  <cp:revision>2</cp:revision>
  <dcterms:created xsi:type="dcterms:W3CDTF">2024-02-08T13:09:00Z</dcterms:created>
  <dcterms:modified xsi:type="dcterms:W3CDTF">2025-08-01T11:15:00Z</dcterms:modified>
</cp:coreProperties>
</file>